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74E" w:rsidRPr="0010074E" w:rsidRDefault="0010074E" w:rsidP="0010074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36"/>
          <w:szCs w:val="36"/>
          <w:lang w:eastAsia="ru-RU"/>
        </w:rPr>
      </w:pPr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 xml:space="preserve">Канал </w:t>
      </w:r>
      <w:proofErr w:type="spellStart"/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> </w:t>
      </w:r>
      <w:r w:rsidRPr="0010074E">
        <w:rPr>
          <w:rFonts w:ascii="Arial" w:eastAsia="Times New Roman" w:hAnsi="Arial" w:cs="Arial"/>
          <w:kern w:val="36"/>
          <w:sz w:val="21"/>
          <w:szCs w:val="21"/>
          <w:lang w:eastAsia="ru-RU"/>
        </w:rPr>
        <w:t>26.07.2009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    Канальные стратегии весьма популярны среди трейдеров на самых различных рынках. Все канальные стратегии основаны на одном или нескольких индикаторах, образующих канал, внутри которого происходит движение цены. Таким каналом могут быть </w:t>
      </w:r>
      <w:hyperlink r:id="rId5" w:tgtFrame="_blank" w:history="1"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 xml:space="preserve">полосы </w:t>
        </w:r>
        <w:proofErr w:type="spellStart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Боллинджера</w:t>
        </w:r>
        <w:proofErr w:type="spellEnd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 xml:space="preserve"> (</w:t>
        </w:r>
        <w:proofErr w:type="spellStart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Bollinger</w:t>
        </w:r>
        <w:proofErr w:type="spellEnd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 xml:space="preserve"> </w:t>
        </w:r>
        <w:proofErr w:type="spellStart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Bands</w:t>
        </w:r>
        <w:proofErr w:type="spellEnd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)</w:t>
        </w:r>
      </w:hyperlink>
      <w:r w:rsidRPr="0010074E">
        <w:rPr>
          <w:rFonts w:ascii="Arial" w:eastAsia="Times New Roman" w:hAnsi="Arial" w:cs="Arial"/>
          <w:sz w:val="21"/>
          <w:szCs w:val="21"/>
          <w:lang w:eastAsia="ru-RU"/>
        </w:rPr>
        <w:t>,</w:t>
      </w:r>
      <w:hyperlink r:id="rId6" w:tgtFrame="_blank" w:history="1"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конверты (</w:t>
        </w:r>
        <w:proofErr w:type="spellStart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Envelopes</w:t>
        </w:r>
        <w:proofErr w:type="spellEnd"/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)</w:t>
        </w:r>
      </w:hyperlink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, каналы линейной регрессии и т.д. Некоторые из этих индикаторов уже были рассмотрены в нашем журнале. Другим весьма интересным канальным индикатором является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(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Donchian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Channel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), о котором и пойдет речь в нашей статье. </w:t>
      </w:r>
    </w:p>
    <w:tbl>
      <w:tblPr>
        <w:tblpPr w:leftFromText="45" w:rightFromText="45" w:vertAnchor="text" w:tblpXSpec="right" w:tblpYSpec="center"/>
        <w:tblW w:w="0" w:type="auto"/>
        <w:tblCellSpacing w:w="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</w:tblGrid>
      <w:tr w:rsidR="0010074E" w:rsidRPr="0010074E" w:rsidTr="0010074E">
        <w:trPr>
          <w:tblCellSpacing w:w="3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074E" w:rsidRPr="0010074E" w:rsidRDefault="0010074E" w:rsidP="0010074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0074E">
              <w:rPr>
                <w:rFonts w:ascii="Arial" w:eastAsia="Times New Roman" w:hAnsi="Arial" w:cs="Arial"/>
                <w:noProof/>
                <w:sz w:val="21"/>
                <w:szCs w:val="21"/>
                <w:lang w:eastAsia="ru-RU"/>
              </w:rPr>
              <w:drawing>
                <wp:anchor distT="47625" distB="47625" distL="47625" distR="47625" simplePos="0" relativeHeight="251658240" behindDoc="0" locked="0" layoutInCell="1" allowOverlap="0" wp14:anchorId="5AAD10FE" wp14:editId="3C71CF8B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438275" cy="1857375"/>
                  <wp:effectExtent l="0" t="0" r="9525" b="9525"/>
                  <wp:wrapSquare wrapText="bothSides"/>
                  <wp:docPr id="6" name="Рисунок 6" descr="Алан Эндрю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лан Эндр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074E" w:rsidRPr="0010074E" w:rsidRDefault="0010074E" w:rsidP="001007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007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Ричард </w:t>
            </w:r>
            <w:proofErr w:type="spellStart"/>
            <w:r w:rsidRPr="001007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Дончиан</w:t>
            </w:r>
            <w:proofErr w:type="spellEnd"/>
            <w:r w:rsidRPr="001007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r w:rsidRPr="001007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(1905 – 1993) </w:t>
            </w:r>
          </w:p>
        </w:tc>
      </w:tr>
    </w:tbl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  Ричард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– легендарная фигура в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трейдинге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, хотя множество трейдеров даже никогда не слышало о нем. Его называют отцом систем следования за трендом [1]. Знаменитая система Черепах была основана на его работах. Серьезный успех пришел к нему, когда он был уже в весьма почтенном возрасте. Он до глубокой старости работал, оставаясь успешным трейдером и показывая своим примером, что никто не является слишком старым для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трейдинга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Итак, что представляет собой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?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есть индикатор волатильности, основанный на вычислении текущего ценового диапазона при помощи использования недавних наибольших и наименьших цен [2, 3].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отображается как верхняя и нижняя полосы (создавая тем самым канал, внутри которого находятся цены), и это сближает его с другими индикаторами волатильности, такими, как полосы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Боллинджера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. Однако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отличается тем, что использует для построения линий лишь простые вычисления последних максимумов и минимумов - для вычисления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нужно лишь найти наибольший максимум и наименьший минимум цен за определенный период (см. рис. 1).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01A2F9E1" wp14:editId="6458D952">
            <wp:extent cx="4705350" cy="4819650"/>
            <wp:effectExtent l="0" t="0" r="0" b="0"/>
            <wp:docPr id="5" name="Рисунок 5" descr="http://theignatpost.ru/img/post/79/d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heignatpost.ru/img/post/79/d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1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  Ричард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рекомендовал использовать период 20 для построения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. Это значит, что на каждом баре индикатор анализирует значения предыдущих 20 баров и находит минимальное и максимальное значения, которые и отображает в виде верхней и нижней границ. Совсем неудивительно, что рекомендован именно период 20, если учесть, что еще сравнительно недавно под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трейдингом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подразумевали торговлю преимущественно на дневных и недельных графиках, а 20 – это как раз среднее число рабочих дней в месяце. Тем не менее, период 20 оказывается удобным для построения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и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на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меньших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таймфреймах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. Интересны также результаты построения канала с периодами 18, 24 и пр. «Черепахи» использовали период 55 (важно уточнить - для входа).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  Несмотря на крайнюю простоту индикатора, он может оказаться весьма полезным для ряда случаев. Опишем некоторые варианты его использования.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Во-первых,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представляет собой, фактически, простую трендовую пробойную систему. Сигналы, генерируемые системой, основаны на следующих базовых правилах [3, 4]: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1. Когда цена закрывается выше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входите в длинные позиции и закрывайте позиции на продажу.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2. Когда цена закрывается ниже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входите в короткие позиции и ликвидируйте длинные.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Вот как описывает эту стратегию Линда Рашки: «…Ричардом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Дончианом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популяризировался четырехнедельный прорыв цены, также как стандартная стратегия следования за трендом. Если цены делали новый 20-дневный максимум, можно было покупать; если цены делали новый 20-дневный минимум, можно было продавать.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lastRenderedPageBreak/>
        <w:t>  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  Эта схема может работать на длительном отрезке времени, если торговать большой корзиной рынков, потому что есть высокая вероятность, что на отдельном рынке произойдет что-нибудь необычное, типа войны в Персидском заливе (сырая нефть) или заморозков (кофе). Система очень зависит от умения ухватить экстраординарное событие или важный тренд. Однако ей присущи очень большие проседания и низкое отношение выигрышей к проигрышам из-за существенного числа ложных прорывов» [5].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Действительно, пробойные системы характеризуются большим количеством неудачных входов. Однако в случае поимки сильного тренда, одна удачная сделка перекрывает потери от множества неудачных входов. Фактически, для пробойных систем нормальной является ситуация, когда всего лишь 20-30% сделок приносят прибыль. Тем не менее, в случае разумной диверсификации портфеля, умелого управления риском, а также при наличии суммы на торговом счете, позволяющей выдерживать большие просадки, данная стратегия может оказаться весьма успешной, что подтверждается примером самого Ричарда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«черепах» и множества трейдеров, использующих аналогичные системы.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Помимо описанных выше слабых сторон данной стратегии, у нее есть еще одно слабое место – точки выхода. Классическое описание стратегии работы по каналу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предполагает, что мы всегда находимся в рынке. Открытая длинная позиция закрывается тогда, когда поступает сигнал на открытие короткой позиции, и наоборот (см. рис. 2).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drawing>
          <wp:inline distT="0" distB="0" distL="0" distR="0" wp14:anchorId="11FF9A24" wp14:editId="15C918A5">
            <wp:extent cx="5610225" cy="4819650"/>
            <wp:effectExtent l="0" t="0" r="9525" b="0"/>
            <wp:docPr id="4" name="Рисунок 4" descr="http://theignatpost.ru/img/post/79/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heignatpost.ru/img/post/79/d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2 </w:t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Зачастую в этом случае мы выходим слишком поздно, лишившись существенной части прибыли. «Черепахи» внесли важную модификацию в данную стратегию: вход осуществляется по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длиннопериодному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каналу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, а выход – по сигналу канала более 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lastRenderedPageBreak/>
        <w:t>короткого периода (см. рис. 3).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drawing>
          <wp:inline distT="0" distB="0" distL="0" distR="0" wp14:anchorId="1E1BBB86" wp14:editId="28F5CCD9">
            <wp:extent cx="5610225" cy="4829175"/>
            <wp:effectExtent l="0" t="0" r="9525" b="9525"/>
            <wp:docPr id="3" name="Рисунок 3" descr="http://theignatpost.ru/img/post/79/d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heignatpost.ru/img/post/79/d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t>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Рис. 3 </w:t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  На рис. 3 можно видеть, что, используя для выхода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с меньшим периодом, зачастую можно выйти из сделки раньше и с большей прибылью.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Как еще можно использовать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?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 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является индикатором волатильности рынка. Если ценовые движения спокойны и невелики, то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будет относительно узким. Если же цена сильно флуктуирует,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будет широким. Это значит, что ширина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выраженная в пунктах или абсолютных величинах и изображенная в виде отдельного графика, может являться самостоятельным индикатором волатильности и представляет собой альтернативу таким индикаторам, как Средний истинный диапазон (ATR) или Стандартное отклонение (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Standard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Deviation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).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  Кроме того, поскольку перед сильным ценовым движением цены часто сжимаются в узкий диапазон, то сильное сжатие канала есть весьма надежный сигнал трейдеру о том, что в ближайшее время ему надо быть готовым к началу серьезного тренда (см. рис. 4).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10A424DC" wp14:editId="0426BFD0">
            <wp:extent cx="5610225" cy="4819650"/>
            <wp:effectExtent l="0" t="0" r="9525" b="0"/>
            <wp:docPr id="2" name="Рисунок 2" descr="http://theignatpost.ru/img/post/79/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heignatpost.ru/img/post/79/d4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4 </w:t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  Если провести внутри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линию, проходящую через его середину, то мы получим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Тенкан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-сен, аналог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скользящей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средней. Эта линия часто выполняет функцию линии поддержки или сопротивления (см. рис. 5, области 1 и 2). Когда рынок относительно спокоен (средняя линия канала движется горизонтально) и на средней линии формируется разворотная свечная модель, можно предположить движение цены до ближайшей границы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2EA4CF3B" wp14:editId="03AED48B">
            <wp:extent cx="5629275" cy="4848225"/>
            <wp:effectExtent l="0" t="0" r="9525" b="9525"/>
            <wp:docPr id="1" name="Рисунок 1" descr="http://theignatpost.ru/img/post/79/d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heignatpost.ru/img/post/79/d5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t>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Рис. 5 </w:t>
      </w:r>
    </w:p>
    <w:p w:rsidR="00CE611B" w:rsidRPr="0010074E" w:rsidRDefault="00CE611B"/>
    <w:p w:rsidR="0010074E" w:rsidRPr="0010074E" w:rsidRDefault="0010074E"/>
    <w:p w:rsidR="0010074E" w:rsidRPr="0010074E" w:rsidRDefault="0010074E" w:rsidP="0010074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36"/>
          <w:szCs w:val="36"/>
          <w:lang w:eastAsia="ru-RU"/>
        </w:rPr>
      </w:pPr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 xml:space="preserve">Канал </w:t>
      </w:r>
      <w:proofErr w:type="spellStart"/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kern w:val="36"/>
          <w:sz w:val="36"/>
          <w:szCs w:val="36"/>
          <w:lang w:eastAsia="ru-RU"/>
        </w:rPr>
        <w:t xml:space="preserve"> - Обратные стратегии </w:t>
      </w:r>
      <w:r w:rsidRPr="0010074E">
        <w:rPr>
          <w:rFonts w:ascii="Arial" w:eastAsia="Times New Roman" w:hAnsi="Arial" w:cs="Arial"/>
          <w:kern w:val="36"/>
          <w:sz w:val="21"/>
          <w:szCs w:val="21"/>
          <w:lang w:eastAsia="ru-RU"/>
        </w:rPr>
        <w:t>03.08.2009</w:t>
      </w:r>
    </w:p>
    <w:p w:rsidR="0010074E" w:rsidRPr="0010074E" w:rsidRDefault="0010074E" w:rsidP="0010074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    Как мы помним </w:t>
      </w:r>
      <w:hyperlink r:id="rId13" w:tgtFrame="_blank" w:history="1">
        <w:r w:rsidRPr="0010074E">
          <w:rPr>
            <w:rFonts w:ascii="Arial" w:eastAsia="Times New Roman" w:hAnsi="Arial" w:cs="Arial"/>
            <w:sz w:val="21"/>
            <w:szCs w:val="21"/>
            <w:lang w:eastAsia="ru-RU"/>
          </w:rPr>
          <w:t>из предыдущей статьи</w:t>
        </w:r>
      </w:hyperlink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, сигналом на вход, скажем, в длинную позицию при торговле при помощи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является закрытие свечи выше верхней границы канала, а на вход в короткую позицию – ниже нижней границы.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 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  Нередко, однако, возникают ситуации, когда цена пробивает верхнюю или нижнюю границы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однако свеча закрывается все-таки внутри канала. При этом часто такая свеча обладает длинной тенью, а объемы превышают среднее значен</w:t>
      </w:r>
      <w:bookmarkStart w:id="0" w:name="_GoBack"/>
      <w:bookmarkEnd w:id="0"/>
      <w:r w:rsidRPr="0010074E">
        <w:rPr>
          <w:rFonts w:ascii="Arial" w:eastAsia="Times New Roman" w:hAnsi="Arial" w:cs="Arial"/>
          <w:sz w:val="21"/>
          <w:szCs w:val="21"/>
          <w:lang w:eastAsia="ru-RU"/>
        </w:rPr>
        <w:t>ие (либо экстремальны). На рис. 1 показано сразу 4 примера таких «теневых пробоев».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 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  Стратегия работы в этом случае очевидна – она будет обратной по отношению к классической стратегии работы по каналу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. При формировании «теневого пробоя» мы открываем длинную позицию при пробое нижней границы, и короткую позицию – при пробое верхней. Первой целью движения цены будет являться середина канала, второй – его противоположная граница. Защитный стоп в этом случае ставится очень близко – на 1 пункт выше верхнего значения «пробойного» бара в случае короткой позиции или на 1 пункт ниже нижнего значения «пробойного» бара в случае длинной, при достижении середины канала целесообразно использовать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трейлинг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-стоп.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362C2DAA" wp14:editId="57E0A8C6">
            <wp:extent cx="5610225" cy="4819650"/>
            <wp:effectExtent l="0" t="0" r="9525" b="0"/>
            <wp:docPr id="11" name="Рисунок 11" descr="http://theignatpost.ru/img/post/80/d2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heignatpost.ru/img/post/80/d2_1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1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  Данная стратегия выгодно отличается от классического варианта сравнительно малыми просадками и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существенно большим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количеством удачных входов, что делает ее пригодной для использования внутридневными трейдерами с небольшим депозитом.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>   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  Традиционно стратегии работы «на отбой» лучше работают на боковых рынках. Вместе с тем, как мы помним из предыдущей статьи, нередко сильное сжатие канала при боковом движении является предупреждением, что следует ожидать скорого пробоя и последующего сильного движения. Заметим также, что данная стратегия может использоваться, с определенной осторожностью, и на трендовых рынках. На рис. 2 изображены 2 примера весьма удачной отработки сигналов «теневого пробоя» на трендовом участке рынка. В точке 1 «теневой пробой» сигнализирует о начале коррекции, в точке 2 – о ее окончании. В точке 2 нижняя линия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усиливается также 50%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фибо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-уровнем, что, конечно, увеличивает шансы на успех.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  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7754D2F7" wp14:editId="0C2E361C">
            <wp:extent cx="5610225" cy="4819650"/>
            <wp:effectExtent l="0" t="0" r="9525" b="0"/>
            <wp:docPr id="10" name="Рисунок 10" descr="http://theignatpost.ru/img/post/80/d2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heignatpost.ru/img/post/80/d2_2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2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  Тем не менее, мы не советуем открывать сделки против явного и сильного тренда, поскольку в этом случае шансы на разворот, даже кратковременный, невелики и мы рискуем получить серию убытков (см. рис. 3). </w:t>
      </w:r>
      <w:proofErr w:type="spellStart"/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Противотрендовая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позиция имеет право на существование в том случае, если, помимо «теневого пробоя» канала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, существуют другие серьезные сигналы предстоящего разворота: достижение важного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фибо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-уровня на старшем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таймфрейме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, дивергенция осцилляторов, неожиданные негативные новости и т.д. </w:t>
      </w:r>
      <w:proofErr w:type="gramEnd"/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21AD9790" wp14:editId="1B9C244A">
            <wp:extent cx="5400675" cy="5229225"/>
            <wp:effectExtent l="0" t="0" r="9525" b="9525"/>
            <wp:docPr id="9" name="Рисунок 9" descr="http://theignatpost.ru/img/post/80/d2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heignatpost.ru/img/post/80/d2_3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3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74E" w:rsidRPr="0010074E" w:rsidRDefault="0010074E" w:rsidP="0010074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    Мы рассмотрели случай, когда канал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Дончиана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пробивается лишь тенью свечи, а закрытие происходит внутри канала. Однако и в том случае, если свеча закрылась за границами канала, возможна успешная работа «на отбой».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    Одна из таких стратегии описана в работе Линды Рашке и Ларри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Коннорс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«Биржевые секреты» - «Черепаховый суп плюс один» (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Turtle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Soup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Plus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One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) [1].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Правила работы по ней формулируются следующим образом (для случая длинной позиции.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Для короткой – в точности наоборот): </w:t>
      </w:r>
      <w:proofErr w:type="gramEnd"/>
    </w:p>
    <w:p w:rsidR="0010074E" w:rsidRPr="0010074E" w:rsidRDefault="0010074E" w:rsidP="0010074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1.    Рынок делает новый минимум и закрывается за границей канала. Предыдущий минимум должен быть сделан не менее чем на 3 свечи ранее.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2.    Отложенный ордер на покупку для входа ставится на следующем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баре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на уровне предыдущего, более раннего минимума. Если в течение этого бара ордер не срабатывает, сделка отменяется.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3.    Если позиция открывается, ставится защитный </w:t>
      </w:r>
      <w:proofErr w:type="gram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стоп-ордер</w:t>
      </w:r>
      <w:proofErr w:type="gram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 xml:space="preserve"> на один пункт ниже минимума первого или минимума второго бара - того, который ниже.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4.    Берите частичную прибыль через два - шесть баров и тяните </w:t>
      </w:r>
      <w:proofErr w:type="spellStart"/>
      <w:r w:rsidRPr="0010074E">
        <w:rPr>
          <w:rFonts w:ascii="Arial" w:eastAsia="Times New Roman" w:hAnsi="Arial" w:cs="Arial"/>
          <w:sz w:val="21"/>
          <w:szCs w:val="21"/>
          <w:lang w:eastAsia="ru-RU"/>
        </w:rPr>
        <w:t>трейлинг</w:t>
      </w:r>
      <w:proofErr w:type="spellEnd"/>
      <w:r w:rsidRPr="0010074E">
        <w:rPr>
          <w:rFonts w:ascii="Arial" w:eastAsia="Times New Roman" w:hAnsi="Arial" w:cs="Arial"/>
          <w:sz w:val="21"/>
          <w:szCs w:val="21"/>
          <w:lang w:eastAsia="ru-RU"/>
        </w:rPr>
        <w:t>-стоп за остальной частью вашей позиции.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  Пример отработки стратегии «Черепаховый суп плюс один» приведен на рис. 4. Другой пример показан на рис. 5. </w:t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lastRenderedPageBreak/>
        <w:drawing>
          <wp:inline distT="0" distB="0" distL="0" distR="0" wp14:anchorId="49E3495B" wp14:editId="2F8203FF">
            <wp:extent cx="4972050" cy="5229225"/>
            <wp:effectExtent l="0" t="0" r="0" b="9525"/>
            <wp:docPr id="8" name="Рисунок 8" descr="http://theignatpost.ru/img/post/80/d2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heignatpost.ru/img/post/80/d2_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4 </w:t>
      </w:r>
    </w:p>
    <w:p w:rsidR="0010074E" w:rsidRPr="0010074E" w:rsidRDefault="0010074E" w:rsidP="0010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 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lastRenderedPageBreak/>
        <w:br/>
      </w:r>
      <w:r w:rsidRPr="0010074E">
        <w:rPr>
          <w:rFonts w:ascii="Arial" w:eastAsia="Times New Roman" w:hAnsi="Arial" w:cs="Arial"/>
          <w:noProof/>
          <w:sz w:val="21"/>
          <w:szCs w:val="21"/>
          <w:lang w:eastAsia="ru-RU"/>
        </w:rPr>
        <w:drawing>
          <wp:inline distT="0" distB="0" distL="0" distR="0" wp14:anchorId="183D708D" wp14:editId="081387D9">
            <wp:extent cx="4972050" cy="5229225"/>
            <wp:effectExtent l="0" t="0" r="0" b="9525"/>
            <wp:docPr id="7" name="Рисунок 7" descr="http://theignatpost.ru/img/post/80/d2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heignatpost.ru/img/post/80/d2_5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74E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10074E" w:rsidRPr="0010074E" w:rsidRDefault="0010074E" w:rsidP="00100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10074E">
        <w:rPr>
          <w:rFonts w:ascii="Arial" w:eastAsia="Times New Roman" w:hAnsi="Arial" w:cs="Arial"/>
          <w:sz w:val="21"/>
          <w:szCs w:val="21"/>
          <w:lang w:eastAsia="ru-RU"/>
        </w:rPr>
        <w:t>Рис. 5 </w:t>
      </w:r>
    </w:p>
    <w:p w:rsidR="0010074E" w:rsidRPr="0010074E" w:rsidRDefault="0010074E"/>
    <w:sectPr w:rsidR="0010074E" w:rsidRPr="00100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717"/>
    <w:rsid w:val="0010074E"/>
    <w:rsid w:val="00272885"/>
    <w:rsid w:val="00CE611B"/>
    <w:rsid w:val="00F2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0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07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0074E"/>
  </w:style>
  <w:style w:type="character" w:customStyle="1" w:styleId="maindate">
    <w:name w:val="main_date"/>
    <w:basedOn w:val="a0"/>
    <w:rsid w:val="0010074E"/>
  </w:style>
  <w:style w:type="character" w:styleId="a3">
    <w:name w:val="Hyperlink"/>
    <w:basedOn w:val="a0"/>
    <w:uiPriority w:val="99"/>
    <w:semiHidden/>
    <w:unhideWhenUsed/>
    <w:rsid w:val="0010074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7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0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07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0074E"/>
  </w:style>
  <w:style w:type="character" w:customStyle="1" w:styleId="maindate">
    <w:name w:val="main_date"/>
    <w:basedOn w:val="a0"/>
    <w:rsid w:val="0010074E"/>
  </w:style>
  <w:style w:type="character" w:styleId="a3">
    <w:name w:val="Hyperlink"/>
    <w:basedOn w:val="a0"/>
    <w:uiPriority w:val="99"/>
    <w:semiHidden/>
    <w:unhideWhenUsed/>
    <w:rsid w:val="0010074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1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theignatpost.ru/magazine/index.php?mlid=1875" TargetMode="External"/><Relationship Id="rId18" Type="http://schemas.openxmlformats.org/officeDocument/2006/relationships/image" Target="media/image11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0.gif"/><Relationship Id="rId2" Type="http://schemas.microsoft.com/office/2007/relationships/stylesWithEffects" Target="stylesWithEffects.xml"/><Relationship Id="rId16" Type="http://schemas.openxmlformats.org/officeDocument/2006/relationships/image" Target="media/image9.gi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theignatpost.ru/magazine/index.php?mlid=973" TargetMode="External"/><Relationship Id="rId11" Type="http://schemas.openxmlformats.org/officeDocument/2006/relationships/image" Target="media/image5.gif"/><Relationship Id="rId5" Type="http://schemas.openxmlformats.org/officeDocument/2006/relationships/hyperlink" Target="http://theignatpost.ru/magazine/index.php?mlid=1198" TargetMode="External"/><Relationship Id="rId15" Type="http://schemas.openxmlformats.org/officeDocument/2006/relationships/image" Target="media/image8.gif"/><Relationship Id="rId10" Type="http://schemas.openxmlformats.org/officeDocument/2006/relationships/image" Target="media/image4.gi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3</cp:revision>
  <cp:lastPrinted>2013-09-12T19:56:00Z</cp:lastPrinted>
  <dcterms:created xsi:type="dcterms:W3CDTF">2013-09-12T19:51:00Z</dcterms:created>
  <dcterms:modified xsi:type="dcterms:W3CDTF">2013-09-12T21:01:00Z</dcterms:modified>
</cp:coreProperties>
</file>